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476" w:rsidRPr="00E87862" w:rsidRDefault="00E87862" w:rsidP="00E878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862">
        <w:rPr>
          <w:rFonts w:ascii="Times New Roman" w:hAnsi="Times New Roman" w:cs="Times New Roman"/>
          <w:b/>
          <w:sz w:val="28"/>
          <w:szCs w:val="28"/>
        </w:rPr>
        <w:t>ПРАВИЛА НЕДИСКРИМИНАЦИОННОГО ДОСТУПА К УСЛУГАМ ПО ПЕРЕДАЧЕ ЭЛЕКТРИЧЕСКОЙ ЭНЕРГИИ И ОКАЗАНИЯ ЭТИХ УСЛУГ</w:t>
      </w:r>
    </w:p>
    <w:p w:rsidR="00E87862" w:rsidRDefault="00E87862" w:rsidP="00E8786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87862">
        <w:rPr>
          <w:rFonts w:ascii="Times New Roman" w:hAnsi="Times New Roman" w:cs="Times New Roman"/>
          <w:b/>
          <w:sz w:val="28"/>
          <w:szCs w:val="28"/>
          <w:u w:val="single"/>
        </w:rPr>
        <w:t>Порядок заключения и исполнения договора</w:t>
      </w:r>
    </w:p>
    <w:p w:rsidR="00E87862" w:rsidRPr="00E87862" w:rsidRDefault="00E87862" w:rsidP="00E8786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87862" w:rsidRPr="00AA07BF" w:rsidRDefault="00E87862" w:rsidP="00E8786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AA07BF">
        <w:rPr>
          <w:rFonts w:ascii="Times New Roman" w:hAnsi="Times New Roman" w:cs="Times New Roman"/>
          <w:bCs/>
          <w:sz w:val="28"/>
          <w:szCs w:val="28"/>
          <w:u w:val="single"/>
        </w:rPr>
        <w:t>Договор должен содержать следующие существенные условия:</w:t>
      </w:r>
    </w:p>
    <w:p w:rsidR="00E87862" w:rsidRPr="00E87862" w:rsidRDefault="00E87862" w:rsidP="00E8786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величина максимальной мощности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устройств, технологически присоединенных в установленном законодательством Российской Федерации порядк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 к электрической сети определенная в соответствии с</w:t>
      </w:r>
      <w:r w:rsidRPr="00D3430C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3" w:history="1">
        <w:r w:rsidRPr="00D3430C">
          <w:rPr>
            <w:rFonts w:ascii="Times New Roman" w:hAnsi="Times New Roman" w:cs="Times New Roman"/>
            <w:sz w:val="28"/>
            <w:szCs w:val="28"/>
          </w:rPr>
          <w:t>пунктом 13(1)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настоящих Правил, с распределением указанной величины по каждой точке поставки;</w:t>
      </w:r>
      <w:proofErr w:type="gramEnd"/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определения размера обязательств потребителя услуг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оплате услуг по передаче электрической энергии в соответствии </w:t>
      </w:r>
      <w:r w:rsidRPr="00D3430C">
        <w:rPr>
          <w:rFonts w:ascii="Times New Roman" w:hAnsi="Times New Roman" w:cs="Times New Roman"/>
          <w:sz w:val="28"/>
          <w:szCs w:val="28"/>
        </w:rPr>
        <w:t xml:space="preserve">с </w:t>
      </w:r>
      <w:hyperlink r:id="rId6" w:history="1">
        <w:r w:rsidRPr="00D3430C">
          <w:rPr>
            <w:rFonts w:ascii="Times New Roman" w:hAnsi="Times New Roman" w:cs="Times New Roman"/>
            <w:sz w:val="28"/>
            <w:szCs w:val="28"/>
          </w:rPr>
          <w:t>пунктом 15(1)</w:t>
        </w:r>
      </w:hyperlink>
      <w:r w:rsidRPr="00D343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Правил, включающий: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объеме электрической энергии (мощности), используемом для определения размера обязательств, или порядок определения такого объема;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расчета стоимости услуг сетевой организации по </w:t>
      </w:r>
      <w:r>
        <w:rPr>
          <w:rFonts w:ascii="Times New Roman" w:hAnsi="Times New Roman" w:cs="Times New Roman"/>
          <w:sz w:val="28"/>
          <w:szCs w:val="28"/>
        </w:rPr>
        <w:t>передаче электрической энергии;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ответственность потребителя услуг и сетевой организации за состояние и обслуживание объектов электросетевого хозяйства, которая определяется балансовой принадлежностью сетевой организации и потребителя услуг (потребителя электрической энергии, в интересах которого заключается договор) и фиксируется в акте разграничения балансовой принадлежности электросетей и акте эксплуатационной ответственности сторон, являющихся приложениями к договору;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сведения о приборах учета электрической энергии (мощности), установленных на дату заключения договора в отношении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устройств, объектов электроэнергетики и используемых для расчетов по договору, с указанием мест их установки, заводских номеров, даты предыдущей и очередной поверки,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межповерочного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интервала;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обязанность потребителя услуг по обеспечению установки и допуску в эксплуатацию приборов учета, соответствующих установленным законодательством Российской Федерации требованиям (в отношении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(объектов электроэнергетики), которые на дату заключения договора не оборудованы приборами учета, либо в случае если установленные приборы учета не соответствуют требованиям законодательства Российской Федерации);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е) обязанность потребителя услуг,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устройства которого подключены к системам противоаварийной и режимной автоматики, установленным в соответствии с </w:t>
      </w:r>
      <w:hyperlink r:id="rId7" w:history="1">
        <w:r w:rsidRPr="00D3430C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технологического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присоединения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 или настоящими Правилами, и находятся под их воздействием, по обеспечению эксплуатации принадлежащих ему на праве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собственности или ином законном основании систем противоаварийной и режимной автоматики, а также по обеспечению возможности реализации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электроэнергетике и сетевой организации.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3"/>
      <w:bookmarkEnd w:id="1"/>
      <w:r>
        <w:rPr>
          <w:rFonts w:ascii="Times New Roman" w:hAnsi="Times New Roman" w:cs="Times New Roman"/>
          <w:sz w:val="28"/>
          <w:szCs w:val="28"/>
        </w:rPr>
        <w:t xml:space="preserve">13(1).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Величина максимальной мощности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(объектов электросетевого хозяйства) определяется в процессе технологического присоединения или в соответствии с</w:t>
      </w:r>
      <w:r w:rsidRPr="00D3430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D3430C">
          <w:rPr>
            <w:rFonts w:ascii="Times New Roman" w:hAnsi="Times New Roman" w:cs="Times New Roman"/>
            <w:sz w:val="28"/>
            <w:szCs w:val="28"/>
          </w:rPr>
          <w:t>разделом IV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 технологического присоединения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 и указывается в документах о технологическом присоединении, если иное не установлено настоящим пунктом.</w:t>
      </w:r>
      <w:proofErr w:type="gramEnd"/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если в документах о технологическом присоединении величина максимальной мощности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не указана и (или) если документы о технологическом присоединении утеряны, величина максимальной мощности определяется в соответствии с </w:t>
      </w:r>
      <w:hyperlink r:id="rId9" w:history="1">
        <w:r w:rsidRPr="00D3430C">
          <w:rPr>
            <w:rFonts w:ascii="Times New Roman" w:hAnsi="Times New Roman" w:cs="Times New Roman"/>
            <w:sz w:val="28"/>
            <w:szCs w:val="28"/>
          </w:rPr>
          <w:t>разделом VIII</w:t>
        </w:r>
      </w:hyperlink>
      <w:r w:rsidRPr="00D343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Правил технологического присоединения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сетям.</w:t>
      </w:r>
      <w:proofErr w:type="gramEnd"/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13(2).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если потребителем услуг является гарантирующий поставщик (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энергосбытовая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организация), договор должен содержать порядок взаимодействия сетевой организации и гарантирующего поставщика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энергосбытовой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организации) в части взаимодействия и обмена информацией, необходимый для соблюдения единых стандартов качества обслуживания сетевыми организациями потребителей услуг сетевых организаций, утверждаемых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топливно-энергетического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комплекса, при обслуживании потребителя электрической энергии, в интереса</w:t>
      </w:r>
      <w:r>
        <w:rPr>
          <w:rFonts w:ascii="Times New Roman" w:hAnsi="Times New Roman" w:cs="Times New Roman"/>
          <w:sz w:val="28"/>
          <w:szCs w:val="28"/>
        </w:rPr>
        <w:t>х которого заключается договор.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При исполнении договора потребитель услуг обязан: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соблюдать предусмотренный договором и документами о технологическом присоединении режим потребления (производства) электрической энергии (мощности);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оплачивать услуги сетевой организации по передаче электрической энергии в размере и сроки, которые определены </w:t>
      </w:r>
      <w:hyperlink r:id="rId10" w:history="1">
        <w:r w:rsidRPr="00D3430C">
          <w:rPr>
            <w:rFonts w:ascii="Times New Roman" w:hAnsi="Times New Roman" w:cs="Times New Roman"/>
            <w:sz w:val="28"/>
            <w:szCs w:val="28"/>
          </w:rPr>
          <w:t>пунктами 15(1)</w:t>
        </w:r>
      </w:hyperlink>
      <w:r w:rsidRPr="00D3430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D3430C">
          <w:rPr>
            <w:rFonts w:ascii="Times New Roman" w:hAnsi="Times New Roman" w:cs="Times New Roman"/>
            <w:sz w:val="28"/>
            <w:szCs w:val="28"/>
          </w:rPr>
          <w:t>15(2)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в) поддерживать в надлежащем техническом состоянии принадлежащие ему средства релейной защиты и противоаварийной автоматики, приборы учета электрической энергии и мощности, устройства, обеспечивающие регулирование реактивной мощности, а также иные устройства, необходимые для поддержания требуемых параметров надежности и качества электрической энергии, и соблюдать требования, установленные для технологического присоединения и эксплуатации указанных средств, приборов и устройств, а также обеспечивать поддержание установленных автономных резервных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источников питания в состоянии готовности к использованию при возникновении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внерегламентных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отключений, введении аварийных ограничений режима потребления электрической энергии (мощности) или использовании противоаварийной автоматики;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осуществлять эксплуатацию принадлежащих 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в соответствии с правилами технической эксплуатации, техники безопасности и оперативно-диспетчерского управления;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д) соблюдать заданные в установленном порядке сетевой организацией, системным оператором (субъектом оперативно-диспетчерского управления) требования к установке устройств релейной защиты и автоматики, а также поддерживать схему электроснабжения с выделением ответственных нагрузок на резервируемые внешние питающие линии, обеспечивающие отпуск электрической энергии для покрытия технологической и аварийной брони;</w:t>
      </w:r>
      <w:proofErr w:type="gramEnd"/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поддерживать на границе балансовой принадлежности значения показателей качества электрической энергии, обусловленные работой 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устройств, соответствующие техническим регламентам и иным обязательным требованиям, в том числе соблюдать установленные договором значения соотношения потребления активной и реактивной мощности, определяемые для отдельных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(групп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устройств);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ж) выполнять требования сетевой организации и субъекта оперативно-диспетчерского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(мощности) при возникновении (угрозе возникновения) дефицита электрической энергии и мощности, а также в иных случаях, предусмотренных законодательством Российской Федерации в качестве основания для введения полного или частичного ограничения режима потребления;</w:t>
      </w:r>
      <w:proofErr w:type="gramEnd"/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представлять в сетевую организацию технологическую информацию (главные электрические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оборудования);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и) информировать сетевую организацию в установленные договором сроки об аварийных ситуациях на энергетических объектах, плановом, текущем и капитальном ремонте на них;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информировать сетевую организацию об объеме участия в автоматическом либо оперативном противоаварийном управлении мощностью, в нормированном первичном регулировании частоты и во вторичном регулировании мощности (для электростанций), а также о перечне и мощности токоприемников потребителя услуг, которые могут быть отключены устройствами противоаварийной автоматики;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 беспрепятственно допускать уполномоченных представителей сетевой организации в пункты контроля и учета количества и качества переданной электрической энергии в порядке и случаях, установленных договором;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м) обеспечивать соблюдение установленного в договоре в соответствии с законодательством Российской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Федерации порядка взаимодействия сторон договора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процессе учета электрической энергии (мощности) с использованием приборов учета, в том числе в части: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 установленного прибора учета в эксплуатацию;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 прибора учета, по которому осуществляются расчеты за оказанные услуги по передаче электрической энергии;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эксплуатации прибора учета, в том числе обеспечение поверки прибора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истечении установленного для него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межповерочного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интервала;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восстановления учета в случае выхода из строя или утраты прибора учета, срок которого не может быть более 2 месяцев;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передачи данных приборов учета, если по условиям договора такая обязанность возложена на потребителя услуг;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сообщения о выходе прибора учета из эксплуатации;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н) обеспечивать соблюдение установленного актом согласования технологической и (или) аварийной брони режима потребления электрической энергии (мощности), а также уровня нагрузки технологической и (или) аварийной брони и сроков завершения технологического процесса при введении ограничения режима потребления электрической энергии;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о) обеспечивать проведение замеров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устройствах (объектах электроэнергетики), в отношении которых заключен договор, и предоставлять сетевой организации информацию о результатах проведенных замеров в течение 3 рабочих дней с даты проведения соответствующего замера, кроме случаев наличия у потребителя электрической энергии системы учета, удаленный доступ к данным которой предоставлен сетевой организации, при получении от сетевой организации требования о проведении контрольных 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внеочередных замеров с учетом периодичности таких замеров, установленной законодательством Российской Федерации об электроэнергетике, в том числе в соответствии с заданием субъекта оперативно-диспетчерского управления в электроэнергетике;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п) обеспечить предоставление проекта акта согласования технологической и (или) аварийной брони в адрес сетевой организации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течение 30 дней с даты заключения договора, если на эту дату у потребителя электрической энергии, ограничение режима потребления электрической энергии (мощности) которого может привести к экономическим, экологическим, социальным последствиям, категории которых определены в </w:t>
      </w:r>
      <w:hyperlink r:id="rId12" w:history="1">
        <w:r w:rsidRPr="00D3430C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Pr="00D3430C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Правилам полного и (или) частичного ограничения режима потребления электрической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энергии, отсутствовал акт согласования технологической и (или) аварийной брони, или в течение 30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возникновения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установленных настоящими Правилами основ</w:t>
      </w:r>
      <w:r>
        <w:rPr>
          <w:rFonts w:ascii="Times New Roman" w:hAnsi="Times New Roman" w:cs="Times New Roman"/>
          <w:sz w:val="28"/>
          <w:szCs w:val="28"/>
        </w:rPr>
        <w:t>аний для изменения такого акта.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При исполнении договора сетевая организация обязана: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обеспечить передачу электрической энергии в точке поставки потребителя услуг (потребителя электрической энергии, в интересах которого заключается договор), качество и параметры которой должны соответствовать техническим регламентам с соблюдением величин аварийной и технологической брони;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осуществлять передачу электрической энергии в соответствии с согласованной категорией надежности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потребителя услуг (потребителя электрической энергии, в интересах которого заключается договор);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определять в </w:t>
      </w:r>
      <w:hyperlink r:id="rId13" w:history="1">
        <w:r w:rsidRPr="00D3430C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D3430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определяемом Министерством энергетики Российской Федерации, значения соотношения потребления активной и реактивной мощности для отдельных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(групп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устройств) потребителей услуг. При этом указанные характеристики для потребителей, присоединенных к электрическим сетям напряжением 35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ниже, устанавливаются сетевой организацией, а для потребителей, присоединенных к электрическим сетям напряжением выше 35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, - сетевой организацией совместно с соответствующим субъектом оперативно-диспетчерского управления;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порядке и сроки, установленные договором, информировать потребителя услуг (потребителя электрической энергии, в интересах которого заключается договор) об аварийных ситуациях в электрических сетях, ремонтных и профилактических работах, влияющих на исполнение обязательств по договору;</w:t>
      </w:r>
    </w:p>
    <w:p w:rsidR="00D3430C" w:rsidRDefault="00D3430C" w:rsidP="00D343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беспрепятственно допускать уполномоченных представителей потребителей услуг в пункты контроля и учета количества и качества электрической энергии, переданной данному потребителю, в порядке и случаях, установленных договором.</w:t>
      </w:r>
    </w:p>
    <w:p w:rsidR="00E87862" w:rsidRPr="00E87862" w:rsidRDefault="00E87862" w:rsidP="000C4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87862" w:rsidRPr="00E87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A3467"/>
    <w:multiLevelType w:val="hybridMultilevel"/>
    <w:tmpl w:val="923A55C8"/>
    <w:lvl w:ilvl="0" w:tplc="34400B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504"/>
    <w:rsid w:val="00052504"/>
    <w:rsid w:val="000C4A0B"/>
    <w:rsid w:val="00526538"/>
    <w:rsid w:val="00830476"/>
    <w:rsid w:val="00A0354C"/>
    <w:rsid w:val="00AA07BF"/>
    <w:rsid w:val="00B95975"/>
    <w:rsid w:val="00D3430C"/>
    <w:rsid w:val="00E8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8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994638A4D5879037D2A57F5AC4400AE5D95E0514993BD310130472C9ED88AA2E29D3177A73729CMDF1H" TargetMode="External"/><Relationship Id="rId13" Type="http://schemas.openxmlformats.org/officeDocument/2006/relationships/hyperlink" Target="consultantplus://offline/ref=9F994638A4D5879037D2A57F5AC4400AE2DA5F01119466D9184A0870CEE2D7BD2960DF167A7273M9F6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F994638A4D5879037D2A57F5AC4400AE5D95E0514993BD310130472C9ED88AA2E29D3177A727499MDF3H" TargetMode="External"/><Relationship Id="rId12" Type="http://schemas.openxmlformats.org/officeDocument/2006/relationships/hyperlink" Target="consultantplus://offline/ref=9F994638A4D5879037D2A57F5AC4400AE5D95F0911993BD310130472C9ED88AA2E29D3177A73769DMDF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994638A4D5879037D2A57F5AC4400AE5D95E0514993BD310130472C9ED88AA2E29D3177A73739EMDF4H" TargetMode="External"/><Relationship Id="rId11" Type="http://schemas.openxmlformats.org/officeDocument/2006/relationships/hyperlink" Target="consultantplus://offline/ref=9F994638A4D5879037D2A57F5AC4400AE5D95E0514993BD310130472C9ED88AA2E29D3177A73739EMDF3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F994638A4D5879037D2A57F5AC4400AE5D95E0514993BD310130472C9ED88AA2E29D3177A73739EMDF4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994638A4D5879037D2A57F5AC4400AE5D95E0514993BD310130472C9ED88AA2E29D31179M7F5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2056</Words>
  <Characters>11722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Н. Никоркина</dc:creator>
  <cp:keywords/>
  <dc:description/>
  <cp:lastModifiedBy>Алена Н. Никоркина</cp:lastModifiedBy>
  <cp:revision>6</cp:revision>
  <cp:lastPrinted>2017-02-27T06:35:00Z</cp:lastPrinted>
  <dcterms:created xsi:type="dcterms:W3CDTF">2017-01-13T09:41:00Z</dcterms:created>
  <dcterms:modified xsi:type="dcterms:W3CDTF">2017-02-27T07:07:00Z</dcterms:modified>
</cp:coreProperties>
</file>